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1A414448" w14:textId="77777777" w:rsidR="00B04C94" w:rsidRDefault="00B04C94" w:rsidP="002B72AC">
      <w:pPr>
        <w:spacing w:before="100" w:beforeAutospacing="1" w:after="100" w:afterAutospacing="1" w:line="240" w:lineRule="auto"/>
        <w:jc w:val="both"/>
      </w:pPr>
      <w:r w:rsidRPr="00B04C94">
        <w:t>Бензин А-95 ДК 021:2015 - 09130000-9 Нафта і дистиляти</w:t>
      </w:r>
      <w:r>
        <w:t xml:space="preserve"> </w:t>
      </w:r>
    </w:p>
    <w:p w14:paraId="2BAB7B57" w14:textId="54E54A35" w:rsidR="00B04C94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B04C94" w:rsidRPr="00B04C94">
        <w:rPr>
          <w:rFonts w:ascii="Times New Roman" w:hAnsi="Times New Roman"/>
        </w:rPr>
        <w:t>UA-2023-05-25-006956-a</w:t>
      </w:r>
      <w:r w:rsidR="00B04C94">
        <w:rPr>
          <w:rFonts w:ascii="Times New Roman" w:hAnsi="Times New Roman"/>
        </w:rPr>
        <w:t xml:space="preserve"> </w:t>
      </w:r>
    </w:p>
    <w:p w14:paraId="760F0F76" w14:textId="24B36103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B04C94" w:rsidRPr="00B04C94">
        <w:rPr>
          <w:rFonts w:ascii="Times New Roman" w:hAnsi="Times New Roman"/>
          <w:b/>
          <w:bCs/>
        </w:rPr>
        <w:t>194</w:t>
      </w:r>
      <w:r w:rsidR="00B04C94">
        <w:rPr>
          <w:rFonts w:ascii="Times New Roman" w:hAnsi="Times New Roman"/>
          <w:b/>
          <w:bCs/>
        </w:rPr>
        <w:t> </w:t>
      </w:r>
      <w:r w:rsidR="00B04C94" w:rsidRPr="00B04C94">
        <w:rPr>
          <w:rFonts w:ascii="Times New Roman" w:hAnsi="Times New Roman"/>
          <w:b/>
          <w:bCs/>
        </w:rPr>
        <w:t>400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  <w:r w:rsidR="00B04C94">
        <w:rPr>
          <w:rFonts w:ascii="Times New Roman" w:eastAsia="Calibri" w:hAnsi="Times New Roman" w:cs="Times New Roman"/>
        </w:rPr>
        <w:t xml:space="preserve">В доступності м. </w:t>
      </w:r>
      <w:proofErr w:type="spellStart"/>
      <w:r w:rsidR="00B04C94">
        <w:rPr>
          <w:rFonts w:ascii="Times New Roman" w:eastAsia="Calibri" w:hAnsi="Times New Roman" w:cs="Times New Roman"/>
        </w:rPr>
        <w:t>Ладижин</w:t>
      </w:r>
      <w:proofErr w:type="spellEnd"/>
      <w:r w:rsidR="00B04C94">
        <w:rPr>
          <w:rFonts w:ascii="Times New Roman" w:eastAsia="Calibri" w:hAnsi="Times New Roman" w:cs="Times New Roman"/>
        </w:rPr>
        <w:t xml:space="preserve"> та 10 км, є три АЗС, відповідно до ціни на бензин А 95 станом на 25.05.2023 визначена очікувана вартість.</w:t>
      </w:r>
    </w:p>
    <w:p w14:paraId="00B0AB3A" w14:textId="5D90DC83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B04C94">
        <w:rPr>
          <w:rFonts w:ascii="Times New Roman" w:eastAsia="Times New Roman" w:hAnsi="Times New Roman"/>
          <w:bCs/>
          <w:lang w:eastAsia="uk-UA"/>
        </w:rPr>
        <w:t>194400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2CBCEE50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якості. </w:t>
      </w:r>
    </w:p>
    <w:p w14:paraId="1D1701EA" w14:textId="77777777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8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276"/>
        <w:gridCol w:w="1276"/>
        <w:gridCol w:w="3053"/>
      </w:tblGrid>
      <w:tr w:rsidR="00B04C94" w:rsidRPr="00B04C94" w14:paraId="7D21D6A7" w14:textId="77777777" w:rsidTr="00B04C94">
        <w:trPr>
          <w:trHeight w:val="10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EBE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304680D0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14:paraId="1BC87179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п\п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FFD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282A8AFB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6DC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5C3687D3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272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756A2342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Кількість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EA3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Технічні характеристики (повинні відповідати вимогам)</w:t>
            </w:r>
          </w:p>
        </w:tc>
      </w:tr>
      <w:tr w:rsidR="00B04C94" w:rsidRPr="00B04C94" w14:paraId="6E6374A6" w14:textId="77777777" w:rsidTr="00B04C94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1A7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640" w14:textId="77777777" w:rsidR="00B04C94" w:rsidRPr="00B04C94" w:rsidRDefault="00B04C94" w:rsidP="00B04C94">
            <w:pPr>
              <w:spacing w:after="60" w:line="276" w:lineRule="auto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Бензин А-95 (талони 5, 10, 20 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9AA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33D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3900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A05A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діючим державним стандартам</w:t>
            </w:r>
          </w:p>
          <w:p w14:paraId="73E68AB0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ДСТУ 7687:2015</w:t>
            </w:r>
          </w:p>
        </w:tc>
      </w:tr>
    </w:tbl>
    <w:p w14:paraId="4B434159" w14:textId="77777777" w:rsidR="00B04C94" w:rsidRPr="00B04C94" w:rsidRDefault="00B04C94" w:rsidP="00B04C94">
      <w:pPr>
        <w:spacing w:line="240" w:lineRule="auto"/>
        <w:jc w:val="both"/>
        <w:rPr>
          <w:rFonts w:ascii="Times New Roman" w:hAnsi="Times New Roman"/>
        </w:rPr>
      </w:pPr>
      <w:r w:rsidRPr="00B04C94">
        <w:rPr>
          <w:rFonts w:ascii="Times New Roman" w:hAnsi="Times New Roman"/>
        </w:rPr>
        <w:t>Якість Бензину марки А-95 повинна відповідати діючим державним стандартам.</w:t>
      </w:r>
    </w:p>
    <w:p w14:paraId="14CB527C" w14:textId="15119C31" w:rsidR="00F85477" w:rsidRPr="00B04C94" w:rsidRDefault="00B04C94" w:rsidP="00B04C94">
      <w:pPr>
        <w:spacing w:line="240" w:lineRule="auto"/>
        <w:jc w:val="both"/>
        <w:rPr>
          <w:rFonts w:ascii="Times New Roman" w:hAnsi="Times New Roman"/>
        </w:rPr>
      </w:pPr>
      <w:r w:rsidRPr="00B04C94">
        <w:rPr>
          <w:rFonts w:ascii="Times New Roman" w:hAnsi="Times New Roman"/>
        </w:rPr>
        <w:t>Національним стандартом щодо бензину є ДСТУ 7687:2015. «Бензини автомобільні Євро. Технічні умови», який прийнято у відповідності до Наказу ДП «</w:t>
      </w:r>
      <w:proofErr w:type="spellStart"/>
      <w:r w:rsidRPr="00B04C94">
        <w:rPr>
          <w:rFonts w:ascii="Times New Roman" w:hAnsi="Times New Roman"/>
        </w:rPr>
        <w:t>УкрНДНЦ</w:t>
      </w:r>
      <w:proofErr w:type="spellEnd"/>
      <w:r w:rsidRPr="00B04C94">
        <w:rPr>
          <w:rFonts w:ascii="Times New Roman" w:hAnsi="Times New Roman"/>
        </w:rPr>
        <w:t>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розроблено з метою забезпечення впровадження та застосування 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 (далі – Технічний регламент).</w:t>
      </w:r>
    </w:p>
    <w:p w14:paraId="7F9A69BE" w14:textId="58D72A29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D17FCE">
        <w:rPr>
          <w:rFonts w:ascii="Times New Roman" w:hAnsi="Times New Roman"/>
          <w:b/>
        </w:rPr>
        <w:t>25.05</w:t>
      </w:r>
      <w:bookmarkStart w:id="0" w:name="_GoBack"/>
      <w:bookmarkEnd w:id="0"/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D55D8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E6DC4"/>
    <w:rsid w:val="0051193E"/>
    <w:rsid w:val="005D6A8D"/>
    <w:rsid w:val="00680F09"/>
    <w:rsid w:val="00764BC8"/>
    <w:rsid w:val="007929D6"/>
    <w:rsid w:val="007A6C6B"/>
    <w:rsid w:val="00842C4E"/>
    <w:rsid w:val="00850BCB"/>
    <w:rsid w:val="009614E1"/>
    <w:rsid w:val="009F772B"/>
    <w:rsid w:val="00A52318"/>
    <w:rsid w:val="00AB3E90"/>
    <w:rsid w:val="00AE34D2"/>
    <w:rsid w:val="00B04C94"/>
    <w:rsid w:val="00BA411E"/>
    <w:rsid w:val="00BC2949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2023-01-24T10:44:00Z</cp:lastPrinted>
  <dcterms:created xsi:type="dcterms:W3CDTF">2023-05-29T08:45:00Z</dcterms:created>
  <dcterms:modified xsi:type="dcterms:W3CDTF">2023-05-29T08:55:00Z</dcterms:modified>
</cp:coreProperties>
</file>