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D4864" w:rsidRPr="00DD4864">
        <w:rPr>
          <w:b/>
          <w:i/>
        </w:rPr>
        <w:t>Олія соняшникова(ДК 021:2015 - 15420000-8 Рафіновані олії та жири)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D4864" w:rsidP="009172BD">
      <w:pPr>
        <w:rPr>
          <w:i/>
        </w:rPr>
      </w:pPr>
      <w:r w:rsidRPr="00DD4864">
        <w:rPr>
          <w:i/>
        </w:rPr>
        <w:t>Олія соняшникова(ДК 021:2015 - 15420000-8 Рафіновані олії та жири)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BD2A97" w:rsidP="009172BD">
      <w:pPr>
        <w:rPr>
          <w:i/>
        </w:rPr>
      </w:pPr>
      <w:r w:rsidRPr="00BD2A97">
        <w:rPr>
          <w:b/>
          <w:i/>
        </w:rPr>
        <w:t>UA-2024-11-25-016787-a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D2A97">
        <w:rPr>
          <w:b/>
        </w:rPr>
        <w:t>38 850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D4864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D486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Олія соняшникова(ДК 021:2015 - 15420000-8 Рафіновані олії та жири)</w:t>
      </w:r>
    </w:p>
    <w:p w:rsidR="003A7E57" w:rsidRDefault="00DD4864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D486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Олії </w:t>
      </w:r>
      <w:r w:rsidRPr="00DD486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рафіновані соняшникові, ДСТУ 4492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 w:rsidR="00BD2A9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555</w:t>
      </w:r>
      <w:bookmarkStart w:id="0" w:name="_GoBack"/>
      <w:bookmarkEnd w:id="0"/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A3" w:rsidRDefault="00E97FA3" w:rsidP="009172BD">
      <w:pPr>
        <w:spacing w:after="0" w:line="240" w:lineRule="auto"/>
      </w:pPr>
      <w:r>
        <w:separator/>
      </w:r>
    </w:p>
  </w:endnote>
  <w:endnote w:type="continuationSeparator" w:id="0">
    <w:p w:rsidR="00E97FA3" w:rsidRDefault="00E97FA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A3" w:rsidRDefault="00E97FA3" w:rsidP="009172BD">
      <w:pPr>
        <w:spacing w:after="0" w:line="240" w:lineRule="auto"/>
      </w:pPr>
      <w:r>
        <w:separator/>
      </w:r>
    </w:p>
  </w:footnote>
  <w:footnote w:type="continuationSeparator" w:id="0">
    <w:p w:rsidR="00E97FA3" w:rsidRDefault="00E97FA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97"/>
    <w:rsid w:val="00BD2AF1"/>
    <w:rsid w:val="00CF0F95"/>
    <w:rsid w:val="00D23C91"/>
    <w:rsid w:val="00D57427"/>
    <w:rsid w:val="00D72A1A"/>
    <w:rsid w:val="00D753BE"/>
    <w:rsid w:val="00DA35D1"/>
    <w:rsid w:val="00DD0252"/>
    <w:rsid w:val="00DD4864"/>
    <w:rsid w:val="00E13315"/>
    <w:rsid w:val="00E40E8C"/>
    <w:rsid w:val="00E97FA3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2248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2024-05-21T12:17:00Z</cp:lastPrinted>
  <dcterms:created xsi:type="dcterms:W3CDTF">2023-06-29T12:33:00Z</dcterms:created>
  <dcterms:modified xsi:type="dcterms:W3CDTF">2024-11-25T14:50:00Z</dcterms:modified>
</cp:coreProperties>
</file>