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D4EA" w14:textId="77777777" w:rsidR="009172BD" w:rsidRDefault="009172BD" w:rsidP="009172BD">
      <w:pPr>
        <w:jc w:val="center"/>
      </w:pPr>
    </w:p>
    <w:p w14:paraId="6651FF8E" w14:textId="77777777"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14:paraId="72C5CFA9" w14:textId="77777777"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1C1193" w:rsidRPr="001C1193">
        <w:rPr>
          <w:b/>
          <w:i/>
        </w:rPr>
        <w:t>Дизельне паливо(Класифікатор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14:paraId="29BC87DF" w14:textId="77777777"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14:paraId="40B54B0E" w14:textId="77777777"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14:paraId="060D3826" w14:textId="77777777"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14:paraId="442FB809" w14:textId="77777777" w:rsidR="009635B9" w:rsidRDefault="009172BD" w:rsidP="009172BD">
      <w:pPr>
        <w:rPr>
          <w:i/>
        </w:rPr>
      </w:pPr>
      <w:r w:rsidRPr="009635B9">
        <w:rPr>
          <w:i/>
        </w:rPr>
        <w:t>23210, Вінницька область, Вінницький район, смт Стрижавка,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14:paraId="75B40DE1" w14:textId="77777777"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14:paraId="17855E10" w14:textId="77777777"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14:paraId="72763FE3" w14:textId="77777777"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14:paraId="3D7DCA85" w14:textId="77777777" w:rsidR="00BB087A" w:rsidRPr="00F269ED" w:rsidRDefault="001C1193" w:rsidP="009172BD">
      <w:pPr>
        <w:rPr>
          <w:i/>
        </w:rPr>
      </w:pPr>
      <w:r w:rsidRPr="001C1193">
        <w:rPr>
          <w:i/>
        </w:rPr>
        <w:t>Дизельне паливо(Класифікатор ДК 021:2015 (CPV) : 09130000-9 Нафта і дистиляти)</w:t>
      </w:r>
      <w:r w:rsidR="00F0555F" w:rsidRPr="00F0555F">
        <w:rPr>
          <w:i/>
        </w:rPr>
        <w:t>.</w:t>
      </w:r>
    </w:p>
    <w:p w14:paraId="1DCF2F41" w14:textId="77777777"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14:paraId="30548969" w14:textId="77777777"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14:paraId="36284ED9" w14:textId="7F31CBA6" w:rsidR="000415A6" w:rsidRPr="00A801AC" w:rsidRDefault="00165774" w:rsidP="009172BD">
      <w:pPr>
        <w:rPr>
          <w:i/>
        </w:rPr>
      </w:pPr>
      <w:r w:rsidRPr="00165774">
        <w:rPr>
          <w:b/>
          <w:i/>
        </w:rPr>
        <w:t>UA-2024-07-10-009995-a</w:t>
      </w:r>
      <w:r w:rsidR="000415A6" w:rsidRPr="00A801AC">
        <w:rPr>
          <w:i/>
        </w:rPr>
        <w:t>.</w:t>
      </w:r>
    </w:p>
    <w:p w14:paraId="43659C2B" w14:textId="6B4BED85"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3C11B8">
        <w:rPr>
          <w:b/>
        </w:rPr>
        <w:t>265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14:paraId="2C250673" w14:textId="77777777"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14:paraId="237521AD" w14:textId="77777777"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14:paraId="5F99B0A7" w14:textId="77777777"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14:paraId="261AE976" w14:textId="77777777"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14:paraId="717B11D5" w14:textId="77777777"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14:paraId="1967FA8A" w14:textId="77777777"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14:paraId="450331CF" w14:textId="77777777"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3BFD820E" w14:textId="77777777" w:rsidR="003C11B8" w:rsidRDefault="003C11B8" w:rsidP="003C11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Дизельне паливо</w:t>
      </w:r>
      <w:r w:rsidRPr="00110CB1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(Класифікатор ДК 021:2015 (CPV) : 09130000-9 Нафта і дистиляти)</w:t>
      </w:r>
    </w:p>
    <w:p w14:paraId="07731A92" w14:textId="77777777" w:rsidR="003C11B8" w:rsidRPr="00110CB1" w:rsidRDefault="003C11B8" w:rsidP="003C11B8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14:paraId="65CF1174" w14:textId="77777777" w:rsidR="003C11B8" w:rsidRPr="00110CB1" w:rsidRDefault="003C11B8" w:rsidP="003C11B8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смт Стрижавка,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3C11B8" w:rsidRPr="00110CB1" w14:paraId="62DDD54A" w14:textId="77777777" w:rsidTr="00005CBC">
        <w:tc>
          <w:tcPr>
            <w:tcW w:w="806" w:type="dxa"/>
          </w:tcPr>
          <w:p w14:paraId="53DD74BE" w14:textId="77777777" w:rsidR="003C11B8" w:rsidRPr="00110CB1" w:rsidRDefault="003C11B8" w:rsidP="00005CBC">
            <w:pPr>
              <w:pStyle w:val="a9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№ п/п</w:t>
            </w:r>
          </w:p>
        </w:tc>
        <w:tc>
          <w:tcPr>
            <w:tcW w:w="3715" w:type="dxa"/>
          </w:tcPr>
          <w:p w14:paraId="71D4828C" w14:textId="77777777" w:rsidR="003C11B8" w:rsidRPr="00110CB1" w:rsidRDefault="003C11B8" w:rsidP="00005CBC">
            <w:pPr>
              <w:pStyle w:val="a9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14:paraId="00A139C9" w14:textId="77777777" w:rsidR="003C11B8" w:rsidRPr="00110CB1" w:rsidRDefault="003C11B8" w:rsidP="00005CBC">
            <w:pPr>
              <w:pStyle w:val="a9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14:paraId="4432907D" w14:textId="77777777" w:rsidR="003C11B8" w:rsidRPr="00110CB1" w:rsidRDefault="003C11B8" w:rsidP="00005CBC">
            <w:pPr>
              <w:pStyle w:val="a9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3C11B8" w:rsidRPr="00110CB1" w14:paraId="11F5A788" w14:textId="77777777" w:rsidTr="00005CBC">
        <w:tc>
          <w:tcPr>
            <w:tcW w:w="806" w:type="dxa"/>
          </w:tcPr>
          <w:p w14:paraId="734C60EE" w14:textId="77777777" w:rsidR="003C11B8" w:rsidRPr="00110CB1" w:rsidRDefault="003C11B8" w:rsidP="00005CBC">
            <w:pPr>
              <w:pStyle w:val="a9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14:paraId="542F7DA0" w14:textId="77777777" w:rsidR="003C11B8" w:rsidRPr="00395C91" w:rsidRDefault="003C11B8" w:rsidP="00005CBC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</w:pP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Дизельне</w:t>
            </w:r>
            <w:proofErr w:type="spellEnd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паливо</w:t>
            </w:r>
            <w:proofErr w:type="spellEnd"/>
            <w:r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r w:rsidRPr="00395C91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(наливом)</w:t>
            </w:r>
          </w:p>
        </w:tc>
        <w:tc>
          <w:tcPr>
            <w:tcW w:w="2165" w:type="dxa"/>
          </w:tcPr>
          <w:p w14:paraId="3CF34402" w14:textId="77777777" w:rsidR="003C11B8" w:rsidRPr="00110CB1" w:rsidRDefault="003C11B8" w:rsidP="00005CBC">
            <w:pPr>
              <w:pStyle w:val="a9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14:paraId="5B84D53F" w14:textId="77777777" w:rsidR="003C11B8" w:rsidRPr="00110CB1" w:rsidRDefault="003C11B8" w:rsidP="00005CBC">
            <w:pPr>
              <w:pStyle w:val="a9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 xml:space="preserve">5 </w:t>
            </w:r>
            <w:r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14:paraId="1828D77D" w14:textId="77777777" w:rsidR="003C11B8" w:rsidRPr="00110CB1" w:rsidRDefault="003C11B8" w:rsidP="003C11B8">
      <w:pPr>
        <w:pStyle w:val="a9"/>
        <w:jc w:val="both"/>
        <w:rPr>
          <w:rFonts w:ascii="Times New Roman" w:hAnsi="Times New Roman"/>
          <w:color w:val="1A1A1A" w:themeColor="background1" w:themeShade="1A"/>
        </w:rPr>
      </w:pPr>
    </w:p>
    <w:p w14:paraId="71DF8A08" w14:textId="77777777" w:rsidR="003C11B8" w:rsidRPr="00110CB1" w:rsidRDefault="003C11B8" w:rsidP="003C11B8">
      <w:pPr>
        <w:pStyle w:val="a9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товару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14:paraId="27BF5AE1" w14:textId="77777777" w:rsidR="003C11B8" w:rsidRPr="00110CB1" w:rsidRDefault="003C11B8" w:rsidP="003C11B8">
      <w:pPr>
        <w:pStyle w:val="a9"/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ДСТУ 7688: 2015 «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Дизильне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паливо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Технічні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».</w:t>
      </w:r>
    </w:p>
    <w:p w14:paraId="730E3AE2" w14:textId="77777777" w:rsidR="003C11B8" w:rsidRPr="00110CB1" w:rsidRDefault="003C11B8" w:rsidP="003C11B8">
      <w:pPr>
        <w:jc w:val="both"/>
        <w:textAlignment w:val="baseline"/>
        <w:rPr>
          <w:rFonts w:ascii="Times New Roman" w:hAnsi="Times New Roman"/>
          <w:bCs/>
        </w:rPr>
      </w:pPr>
      <w:r w:rsidRPr="00110CB1">
        <w:rPr>
          <w:rFonts w:ascii="Times New Roman" w:hAnsi="Times New Roman"/>
          <w:b/>
          <w:bCs/>
          <w:i/>
        </w:rPr>
        <w:t>Дизельне паливо</w:t>
      </w:r>
      <w:r w:rsidRPr="00110CB1">
        <w:rPr>
          <w:rFonts w:ascii="Times New Roman" w:hAnsi="Times New Roman"/>
          <w:bCs/>
        </w:rPr>
        <w:t xml:space="preserve"> повинно відповідати ДСТУ 7687:2015. Дизельне паливо повинне відповідати по своїм технічним/якісним показникам до сезонності експлуатації. Якість та інші фізико-хімічні характеристики дизельного палива, яке передається, повинні відповідати вимогам </w:t>
      </w:r>
      <w:r w:rsidRPr="00110CB1">
        <w:rPr>
          <w:rFonts w:ascii="Times New Roman" w:hAnsi="Times New Roman"/>
          <w:b/>
          <w:bCs/>
          <w:i/>
        </w:rPr>
        <w:t>ДСТУ 7688: 2015 «</w:t>
      </w:r>
      <w:proofErr w:type="spellStart"/>
      <w:r w:rsidRPr="00110CB1">
        <w:rPr>
          <w:rFonts w:ascii="Times New Roman" w:hAnsi="Times New Roman"/>
          <w:b/>
          <w:bCs/>
          <w:i/>
        </w:rPr>
        <w:t>Дизильне</w:t>
      </w:r>
      <w:proofErr w:type="spellEnd"/>
      <w:r w:rsidRPr="00110CB1">
        <w:rPr>
          <w:rFonts w:ascii="Times New Roman" w:hAnsi="Times New Roman"/>
          <w:b/>
          <w:bCs/>
          <w:i/>
        </w:rPr>
        <w:t xml:space="preserve"> паливо Євро. Технічні умови»</w:t>
      </w:r>
    </w:p>
    <w:p w14:paraId="03F5E571" w14:textId="77777777" w:rsidR="003C11B8" w:rsidRPr="00110CB1" w:rsidRDefault="003C11B8" w:rsidP="003C11B8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110CB1">
        <w:rPr>
          <w:rFonts w:ascii="Times New Roman" w:hAnsi="Times New Roman"/>
          <w:bCs/>
          <w:color w:val="1A1A1A" w:themeColor="background1" w:themeShade="1A"/>
        </w:rPr>
        <w:t xml:space="preserve">Товар,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який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Учасник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планує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відпускати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протягом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договору, повинен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встановленим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діючим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законодавством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України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вимогам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що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обов’язково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повинно бути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підтверджено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паспортом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в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складі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пропозиції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тендерної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документації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>.</w:t>
      </w:r>
    </w:p>
    <w:p w14:paraId="0B6FE4EA" w14:textId="77777777" w:rsidR="003C11B8" w:rsidRPr="00110CB1" w:rsidRDefault="003C11B8" w:rsidP="003C11B8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14:paraId="5EAD95B6" w14:textId="77777777" w:rsidR="003C11B8" w:rsidRPr="00110CB1" w:rsidRDefault="003C11B8" w:rsidP="003C11B8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14:paraId="44554381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14:paraId="160B8448" w14:textId="77777777" w:rsidR="003C11B8" w:rsidRPr="00110CB1" w:rsidRDefault="003C11B8" w:rsidP="003C11B8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14:paraId="52DE7E85" w14:textId="77777777" w:rsidR="003C11B8" w:rsidRPr="00110CB1" w:rsidRDefault="003C11B8" w:rsidP="003C11B8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14:paraId="3CA88F48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14:paraId="298D8444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lastRenderedPageBreak/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14:paraId="3517E6A4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14:paraId="70F7F56C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14:paraId="738F13E3" w14:textId="77777777" w:rsidR="003C11B8" w:rsidRPr="00110CB1" w:rsidRDefault="003C11B8" w:rsidP="003C11B8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14:paraId="52FADBC8" w14:textId="77777777" w:rsidR="003C11B8" w:rsidRPr="00110CB1" w:rsidRDefault="003C11B8" w:rsidP="003C11B8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14:paraId="7CCE6C48" w14:textId="77777777" w:rsidR="003C11B8" w:rsidRPr="00110CB1" w:rsidRDefault="003C11B8" w:rsidP="003C11B8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14:paraId="161D0430" w14:textId="77777777" w:rsidR="003C11B8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14:paraId="72366CFE" w14:textId="77777777" w:rsidR="003C11B8" w:rsidRPr="00110CB1" w:rsidRDefault="003C11B8" w:rsidP="003C11B8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14:paraId="2D003806" w14:textId="77777777" w:rsidR="003C11B8" w:rsidRPr="00110CB1" w:rsidRDefault="003C11B8" w:rsidP="003C11B8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 належної якості та у встановлені строки поставки у місцезнаходження Замовника.</w:t>
      </w:r>
    </w:p>
    <w:p w14:paraId="189F8096" w14:textId="77777777" w:rsidR="001C1193" w:rsidRDefault="001C1193" w:rsidP="003C11B8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1C1193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87A8F" w14:textId="77777777" w:rsidR="00BD1C68" w:rsidRDefault="00BD1C68" w:rsidP="009172BD">
      <w:pPr>
        <w:spacing w:after="0" w:line="240" w:lineRule="auto"/>
      </w:pPr>
      <w:r>
        <w:separator/>
      </w:r>
    </w:p>
  </w:endnote>
  <w:endnote w:type="continuationSeparator" w:id="0">
    <w:p w14:paraId="1BCDE513" w14:textId="77777777" w:rsidR="00BD1C68" w:rsidRDefault="00BD1C6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98BD9" w14:textId="77777777" w:rsidR="00BD1C68" w:rsidRDefault="00BD1C68" w:rsidP="009172BD">
      <w:pPr>
        <w:spacing w:after="0" w:line="240" w:lineRule="auto"/>
      </w:pPr>
      <w:r>
        <w:separator/>
      </w:r>
    </w:p>
  </w:footnote>
  <w:footnote w:type="continuationSeparator" w:id="0">
    <w:p w14:paraId="3DA19BC8" w14:textId="77777777" w:rsidR="00BD1C68" w:rsidRDefault="00BD1C6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AD4F" w14:textId="77777777"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5289">
    <w:abstractNumId w:val="5"/>
  </w:num>
  <w:num w:numId="2" w16cid:durableId="850146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751103">
    <w:abstractNumId w:val="8"/>
  </w:num>
  <w:num w:numId="4" w16cid:durableId="391660751">
    <w:abstractNumId w:val="4"/>
  </w:num>
  <w:num w:numId="5" w16cid:durableId="1510411730">
    <w:abstractNumId w:val="3"/>
  </w:num>
  <w:num w:numId="6" w16cid:durableId="665673112">
    <w:abstractNumId w:val="13"/>
  </w:num>
  <w:num w:numId="7" w16cid:durableId="1533112822">
    <w:abstractNumId w:val="11"/>
  </w:num>
  <w:num w:numId="8" w16cid:durableId="1629774336">
    <w:abstractNumId w:val="0"/>
  </w:num>
  <w:num w:numId="9" w16cid:durableId="314990010">
    <w:abstractNumId w:val="12"/>
  </w:num>
  <w:num w:numId="10" w16cid:durableId="8854871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7870811">
    <w:abstractNumId w:val="7"/>
  </w:num>
  <w:num w:numId="12" w16cid:durableId="989987094">
    <w:abstractNumId w:val="1"/>
  </w:num>
  <w:num w:numId="13" w16cid:durableId="1851680651">
    <w:abstractNumId w:val="2"/>
  </w:num>
  <w:num w:numId="14" w16cid:durableId="39980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F1"/>
    <w:rsid w:val="000005F1"/>
    <w:rsid w:val="000415A6"/>
    <w:rsid w:val="00064C3F"/>
    <w:rsid w:val="00165774"/>
    <w:rsid w:val="001C1193"/>
    <w:rsid w:val="001C47D9"/>
    <w:rsid w:val="001E392A"/>
    <w:rsid w:val="002058A3"/>
    <w:rsid w:val="00260155"/>
    <w:rsid w:val="002D314E"/>
    <w:rsid w:val="002E6BAD"/>
    <w:rsid w:val="002F3417"/>
    <w:rsid w:val="00306893"/>
    <w:rsid w:val="0031499A"/>
    <w:rsid w:val="00317500"/>
    <w:rsid w:val="00335FEA"/>
    <w:rsid w:val="00356ADF"/>
    <w:rsid w:val="003B2047"/>
    <w:rsid w:val="003C11B8"/>
    <w:rsid w:val="003C5E33"/>
    <w:rsid w:val="00401FA9"/>
    <w:rsid w:val="004C6B1F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1C68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3F69"/>
  <w15:docId w15:val="{8AE0BAAB-A985-4570-9DA6-1F6D6AD4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a8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8">
    <w:name w:val="Звичайний (веб) Знак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9">
    <w:name w:val="List Paragraph"/>
    <w:aliases w:val="CA bullets,EBRD List,Список уровня 2,название табл/рис,заголовок 1.1,AC List 01"/>
    <w:basedOn w:val="a"/>
    <w:link w:val="aa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a">
    <w:name w:val="Абзац списку Знак"/>
    <w:aliases w:val="CA bullets Знак,EBRD List Знак,Список уровня 2 Знак,название табл/рис Знак,заголовок 1.1 Знак,AC List 01 Знак"/>
    <w:link w:val="a9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b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c">
    <w:name w:val="No Spacing"/>
    <w:link w:val="ad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d">
    <w:name w:val="Без інтервалів Знак"/>
    <w:link w:val="ac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e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Довгалюк</cp:lastModifiedBy>
  <cp:revision>2</cp:revision>
  <cp:lastPrinted>2024-02-12T10:47:00Z</cp:lastPrinted>
  <dcterms:created xsi:type="dcterms:W3CDTF">2024-07-10T17:28:00Z</dcterms:created>
  <dcterms:modified xsi:type="dcterms:W3CDTF">2024-07-10T17:28:00Z</dcterms:modified>
</cp:coreProperties>
</file>